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AC61B9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lang w:eastAsia="es-ES"/>
        </w:rPr>
      </w:pPr>
      <w:r w:rsidRPr="00AC61B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70AA8495">
                <wp:simplePos x="0" y="0"/>
                <wp:positionH relativeFrom="margin">
                  <wp:posOffset>1853565</wp:posOffset>
                </wp:positionH>
                <wp:positionV relativeFrom="paragraph">
                  <wp:posOffset>0</wp:posOffset>
                </wp:positionV>
                <wp:extent cx="3783965" cy="2752725"/>
                <wp:effectExtent l="0" t="0" r="698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46B83ED5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E5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8A7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C61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55A916CB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C61B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Susan </w:t>
                            </w:r>
                            <w:proofErr w:type="spellStart"/>
                            <w:r w:rsidR="00AC61B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="00AC61B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Muñoz Rodríguez, </w:t>
                            </w:r>
                            <w:proofErr w:type="gramStart"/>
                            <w:r w:rsidR="00AC61B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Presidenta</w:t>
                            </w:r>
                            <w:proofErr w:type="gramEnd"/>
                            <w:r w:rsidR="00AC61B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 la Asociación “Red Hidrocálida de Personas Trans y de la Diversidad Sexual”</w:t>
                            </w:r>
                            <w:r w:rsid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048E3566" w:rsidR="00BC7644" w:rsidRPr="00EE6E37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</w:t>
                            </w:r>
                            <w:r w:rsidR="009173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A8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C. Leslie Mayela Figueroa Treviño y Berenice Anahí Romo Tapia candidatas propietaria y suplente respectivamente, a la diputación local del distrito electoral XV, del partido MORENA; Consejo Distrital Electoral XV del IEE de Aguascalientes.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5.95pt;margin-top:0;width:297.95pt;height:2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46B83ED5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E5AE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8A7BD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AC61B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55A916CB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C61B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Susan </w:t>
                      </w:r>
                      <w:proofErr w:type="spellStart"/>
                      <w:r w:rsidR="00AC61B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="00AC61B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Muñoz Rodríguez, </w:t>
                      </w:r>
                      <w:proofErr w:type="gramStart"/>
                      <w:r w:rsidR="00AC61B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Presidenta</w:t>
                      </w:r>
                      <w:proofErr w:type="gramEnd"/>
                      <w:r w:rsidR="00AC61B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 la Asociación “Red Hidrocálida de Personas Trans y de la Diversidad Sexual”</w:t>
                      </w:r>
                      <w:r w:rsid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048E3566" w:rsidR="00BC7644" w:rsidRPr="00EE6E37" w:rsidRDefault="00BC7644" w:rsidP="00BC76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</w:t>
                      </w:r>
                      <w:r w:rsidR="009173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6A8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C. Leslie Mayela Figueroa Treviño y Berenice Anahí Romo Tapia candidatas propietaria y suplente respectivamente, a la diputación local del distrito electoral XV, del partido MORENA; Consejo Distrital Electoral XV del IEE de Aguascalientes.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03AEA056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D49BBD0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64A15972" w14:textId="77777777" w:rsidR="00270BFD" w:rsidRPr="00AC61B9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6F5E3D13" w14:textId="77777777" w:rsidR="00270BFD" w:rsidRPr="00AC61B9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479BF7B5" w14:textId="77777777" w:rsidR="00EE6E37" w:rsidRPr="00AC61B9" w:rsidRDefault="00EE6E3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8ECA1AB" w14:textId="77777777" w:rsidR="0091732A" w:rsidRPr="00AC61B9" w:rsidRDefault="0091732A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2C58EC" w14:textId="77777777" w:rsidR="008E6A85" w:rsidRPr="00AC61B9" w:rsidRDefault="008E6A85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07534F8" w14:textId="77777777" w:rsidR="00AC61B9" w:rsidRDefault="00AC61B9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6EE2BAEB" w14:textId="60E4B15D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AC61B9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AC61B9">
        <w:rPr>
          <w:rFonts w:ascii="Arial" w:eastAsia="Times New Roman" w:hAnsi="Arial" w:cs="Arial"/>
          <w:bCs/>
          <w:lang w:eastAsia="es-MX"/>
        </w:rPr>
        <w:t xml:space="preserve"> de Acuerdos, da cuenta a la Magistrada Presidenta, Claudia Eloísa Díaz de León González, con el oficio con número </w:t>
      </w:r>
      <w:r w:rsidR="001372A8" w:rsidRPr="00AC61B9">
        <w:rPr>
          <w:rFonts w:ascii="Arial" w:eastAsia="Times New Roman" w:hAnsi="Arial" w:cs="Arial"/>
          <w:bCs/>
          <w:lang w:eastAsia="es-MX"/>
        </w:rPr>
        <w:t>TEEA-OP-</w:t>
      </w:r>
      <w:r w:rsidR="008E6A85" w:rsidRPr="00AC61B9">
        <w:rPr>
          <w:rFonts w:ascii="Arial" w:eastAsia="Times New Roman" w:hAnsi="Arial" w:cs="Arial"/>
          <w:bCs/>
          <w:lang w:eastAsia="es-MX"/>
        </w:rPr>
        <w:t>7</w:t>
      </w:r>
      <w:r w:rsidR="00AC61B9" w:rsidRPr="00AC61B9">
        <w:rPr>
          <w:rFonts w:ascii="Arial" w:eastAsia="Times New Roman" w:hAnsi="Arial" w:cs="Arial"/>
          <w:bCs/>
          <w:lang w:eastAsia="es-MX"/>
        </w:rPr>
        <w:t>23</w:t>
      </w:r>
      <w:r w:rsidRPr="00AC61B9">
        <w:rPr>
          <w:rFonts w:ascii="Arial" w:eastAsia="Times New Roman" w:hAnsi="Arial" w:cs="Arial"/>
          <w:bCs/>
          <w:lang w:eastAsia="es-MX"/>
        </w:rPr>
        <w:t>/2021</w:t>
      </w:r>
      <w:r w:rsidR="001372A8" w:rsidRPr="00AC61B9">
        <w:rPr>
          <w:rFonts w:ascii="Arial" w:eastAsia="Times New Roman" w:hAnsi="Arial" w:cs="Arial"/>
          <w:bCs/>
          <w:lang w:eastAsia="es-MX"/>
        </w:rPr>
        <w:t xml:space="preserve">, de fecha </w:t>
      </w:r>
      <w:r w:rsidR="00AC61B9" w:rsidRPr="00AC61B9">
        <w:rPr>
          <w:rFonts w:ascii="Arial" w:eastAsia="Times New Roman" w:hAnsi="Arial" w:cs="Arial"/>
          <w:bCs/>
          <w:lang w:eastAsia="es-MX"/>
        </w:rPr>
        <w:t>treinta y uno</w:t>
      </w:r>
      <w:r w:rsidR="005731FC" w:rsidRPr="00AC61B9">
        <w:rPr>
          <w:rFonts w:ascii="Arial" w:eastAsia="Times New Roman" w:hAnsi="Arial" w:cs="Arial"/>
          <w:bCs/>
          <w:lang w:eastAsia="es-MX"/>
        </w:rPr>
        <w:t xml:space="preserve"> de mayo</w:t>
      </w:r>
      <w:r w:rsidRPr="00AC61B9">
        <w:rPr>
          <w:rFonts w:ascii="Arial" w:eastAsia="Times New Roman" w:hAnsi="Arial" w:cs="Arial"/>
          <w:bCs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BC7644" w:rsidRPr="00AC61B9" w14:paraId="398890A8" w14:textId="77777777" w:rsidTr="008E6A85">
        <w:tc>
          <w:tcPr>
            <w:tcW w:w="4390" w:type="dxa"/>
          </w:tcPr>
          <w:p w14:paraId="0B29B8CB" w14:textId="77777777" w:rsidR="00BC7644" w:rsidRPr="00AC61B9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C61B9">
              <w:rPr>
                <w:rFonts w:ascii="Arial" w:eastAsia="Times New Roman" w:hAnsi="Arial" w:cs="Arial"/>
                <w:b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5AA2FB1E" w14:textId="77777777" w:rsidR="00BC7644" w:rsidRPr="00AC61B9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C61B9">
              <w:rPr>
                <w:rFonts w:ascii="Arial" w:eastAsia="Times New Roman" w:hAnsi="Arial" w:cs="Arial"/>
                <w:b/>
                <w:lang w:eastAsia="es-MX"/>
              </w:rPr>
              <w:t>Acto impugnado</w:t>
            </w:r>
          </w:p>
        </w:tc>
      </w:tr>
      <w:tr w:rsidR="00BC7644" w:rsidRPr="00AC61B9" w14:paraId="6523D26B" w14:textId="77777777" w:rsidTr="008E6A85">
        <w:tc>
          <w:tcPr>
            <w:tcW w:w="4390" w:type="dxa"/>
          </w:tcPr>
          <w:p w14:paraId="47223FF1" w14:textId="77D569CF" w:rsidR="00BC7644" w:rsidRPr="00AC61B9" w:rsidRDefault="003302AC" w:rsidP="001372A8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C61B9">
              <w:rPr>
                <w:rFonts w:ascii="Arial" w:eastAsia="Times New Roman" w:hAnsi="Arial" w:cs="Arial"/>
                <w:lang w:eastAsia="es-MX"/>
              </w:rPr>
              <w:t xml:space="preserve">Escrito que contiene un juicio de la ciudadanía, </w:t>
            </w:r>
            <w:r w:rsidR="00750844" w:rsidRPr="00AC61B9">
              <w:rPr>
                <w:rFonts w:ascii="Arial" w:eastAsia="Times New Roman" w:hAnsi="Arial" w:cs="Arial"/>
                <w:lang w:eastAsia="es-MX"/>
              </w:rPr>
              <w:t xml:space="preserve">suscrito por </w:t>
            </w:r>
            <w:r w:rsidR="008E6A85" w:rsidRPr="00AC61B9">
              <w:rPr>
                <w:rFonts w:ascii="Arial" w:eastAsia="Times New Roman" w:hAnsi="Arial" w:cs="Arial"/>
                <w:lang w:eastAsia="es-MX"/>
              </w:rPr>
              <w:t>la</w:t>
            </w:r>
            <w:r w:rsidR="00750844" w:rsidRPr="00AC61B9">
              <w:rPr>
                <w:rFonts w:ascii="Arial" w:eastAsia="Times New Roman" w:hAnsi="Arial" w:cs="Arial"/>
                <w:lang w:eastAsia="es-MX"/>
              </w:rPr>
              <w:t xml:space="preserve"> promovente al rubro indicado, presentado directamente ante esta autoridad. </w:t>
            </w:r>
          </w:p>
        </w:tc>
        <w:tc>
          <w:tcPr>
            <w:tcW w:w="4438" w:type="dxa"/>
          </w:tcPr>
          <w:p w14:paraId="07FBE243" w14:textId="52D7D799" w:rsidR="00BC7644" w:rsidRPr="00AC61B9" w:rsidRDefault="008E6A85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AC61B9">
              <w:rPr>
                <w:rFonts w:ascii="Arial" w:eastAsia="Times New Roman" w:hAnsi="Arial" w:cs="Arial"/>
                <w:bCs/>
                <w:lang w:eastAsia="es-MX"/>
              </w:rPr>
              <w:t>Usurpación de identidad de género LGBTIQ+ realizada por las candidatas a diputadas locales por el distrito XV, al rubro indicado, así como la aprobación de las candidaturas realizadas por el Consejo Distrital Electoral XV del IEE de Aguascalientes.</w:t>
            </w:r>
          </w:p>
        </w:tc>
      </w:tr>
    </w:tbl>
    <w:p w14:paraId="36A1C52B" w14:textId="77777777" w:rsidR="00270BFD" w:rsidRPr="00AC61B9" w:rsidRDefault="00270BFD" w:rsidP="00270BFD">
      <w:pPr>
        <w:pStyle w:val="Sinespaciado"/>
        <w:rPr>
          <w:lang w:eastAsia="es-MX"/>
        </w:rPr>
      </w:pPr>
    </w:p>
    <w:p w14:paraId="1887F07D" w14:textId="77777777" w:rsidR="008E6A85" w:rsidRPr="00AC61B9" w:rsidRDefault="008E6A85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lang w:eastAsia="es-MX"/>
        </w:rPr>
      </w:pPr>
    </w:p>
    <w:p w14:paraId="4B6F84D8" w14:textId="70AC203F" w:rsidR="00BC7644" w:rsidRPr="00AC61B9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lang w:eastAsia="es-MX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 xml:space="preserve">Aguascalientes, Aguascalientes, a </w:t>
      </w:r>
      <w:r w:rsidR="00AC61B9" w:rsidRPr="00AC61B9">
        <w:rPr>
          <w:rFonts w:ascii="Arial" w:eastAsia="Times New Roman" w:hAnsi="Arial" w:cs="Arial"/>
          <w:b/>
          <w:bCs/>
          <w:lang w:eastAsia="es-MX"/>
        </w:rPr>
        <w:t>treinta y uno</w:t>
      </w:r>
      <w:r w:rsidR="00774A0D" w:rsidRPr="00AC61B9">
        <w:rPr>
          <w:rFonts w:ascii="Arial" w:eastAsia="Times New Roman" w:hAnsi="Arial" w:cs="Arial"/>
          <w:b/>
          <w:bCs/>
          <w:lang w:eastAsia="es-MX"/>
        </w:rPr>
        <w:t xml:space="preserve"> de mayo</w:t>
      </w:r>
      <w:r w:rsidRPr="00AC61B9">
        <w:rPr>
          <w:rFonts w:ascii="Arial" w:eastAsia="Times New Roman" w:hAnsi="Arial" w:cs="Arial"/>
          <w:b/>
          <w:bCs/>
          <w:lang w:eastAsia="es-MX"/>
        </w:rPr>
        <w:t xml:space="preserve"> de dos mil veintiuno. </w:t>
      </w:r>
    </w:p>
    <w:p w14:paraId="10482C16" w14:textId="0C6D66D3" w:rsidR="00BC7644" w:rsidRPr="00AC61B9" w:rsidRDefault="00BC7644" w:rsidP="00BC7644">
      <w:pPr>
        <w:spacing w:line="360" w:lineRule="auto"/>
        <w:ind w:firstLine="708"/>
        <w:jc w:val="both"/>
        <w:rPr>
          <w:rFonts w:ascii="Arial" w:hAnsi="Arial" w:cs="Arial"/>
        </w:rPr>
      </w:pPr>
      <w:r w:rsidRPr="00AC61B9">
        <w:rPr>
          <w:rFonts w:ascii="Arial" w:hAnsi="Arial" w:cs="Arial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321E6CF7" w:rsidR="00BC7644" w:rsidRPr="00AC61B9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lastRenderedPageBreak/>
        <w:t xml:space="preserve">PRIMERO. Integración de expediente. </w:t>
      </w:r>
      <w:r w:rsidRPr="00AC61B9">
        <w:rPr>
          <w:rFonts w:ascii="Arial" w:eastAsia="Times New Roman" w:hAnsi="Arial" w:cs="Arial"/>
          <w:lang w:eastAsia="es-MX"/>
        </w:rPr>
        <w:t xml:space="preserve">Con el escrito de cuenta y sus anexos, se ordena integrar el expediente respectivo y registrarlo en el libro de gobierno con la clave </w:t>
      </w:r>
      <w:r w:rsidRPr="00AC61B9">
        <w:rPr>
          <w:rFonts w:ascii="Arial" w:eastAsia="Times New Roman" w:hAnsi="Arial" w:cs="Arial"/>
          <w:b/>
          <w:bCs/>
          <w:lang w:eastAsia="es-MX"/>
        </w:rPr>
        <w:t>TEEA-JDC-</w:t>
      </w:r>
      <w:r w:rsidR="008D0202" w:rsidRPr="00AC61B9">
        <w:rPr>
          <w:rFonts w:ascii="Arial" w:eastAsia="Times New Roman" w:hAnsi="Arial" w:cs="Arial"/>
          <w:b/>
          <w:bCs/>
          <w:lang w:eastAsia="es-MX"/>
        </w:rPr>
        <w:t>12</w:t>
      </w:r>
      <w:r w:rsidR="00AC61B9" w:rsidRPr="00AC61B9">
        <w:rPr>
          <w:rFonts w:ascii="Arial" w:eastAsia="Times New Roman" w:hAnsi="Arial" w:cs="Arial"/>
          <w:b/>
          <w:bCs/>
          <w:lang w:eastAsia="es-MX"/>
        </w:rPr>
        <w:t>4</w:t>
      </w:r>
      <w:r w:rsidRPr="00AC61B9">
        <w:rPr>
          <w:rFonts w:ascii="Arial" w:eastAsia="Times New Roman" w:hAnsi="Arial" w:cs="Arial"/>
          <w:b/>
          <w:bCs/>
          <w:lang w:eastAsia="es-MX"/>
        </w:rPr>
        <w:t>/2021.</w:t>
      </w:r>
    </w:p>
    <w:p w14:paraId="452EACFE" w14:textId="33B7F81C" w:rsidR="00E72D51" w:rsidRPr="00AC61B9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AC61B9">
        <w:rPr>
          <w:rFonts w:ascii="Arial" w:eastAsia="Times New Roman" w:hAnsi="Arial" w:cs="Arial"/>
          <w:b/>
          <w:lang w:eastAsia="es-MX"/>
        </w:rPr>
        <w:t xml:space="preserve">SEGUNDO. </w:t>
      </w:r>
      <w:r w:rsidR="00AC61B9" w:rsidRPr="00AC61B9">
        <w:rPr>
          <w:rFonts w:ascii="Arial" w:eastAsia="Times New Roman" w:hAnsi="Arial" w:cs="Arial"/>
          <w:b/>
          <w:lang w:eastAsia="es-MX"/>
        </w:rPr>
        <w:t xml:space="preserve">Turno y acumulación. </w:t>
      </w:r>
      <w:r w:rsidR="00AC61B9" w:rsidRPr="00AC61B9">
        <w:rPr>
          <w:rFonts w:ascii="Arial" w:eastAsia="Times New Roman" w:hAnsi="Arial" w:cs="Arial"/>
          <w:bCs/>
          <w:lang w:eastAsia="es-MX"/>
        </w:rPr>
        <w:t>Para los efectos previstos en los artículos 327</w:t>
      </w:r>
      <w:r w:rsidR="00AC61B9" w:rsidRPr="00AC61B9">
        <w:rPr>
          <w:rFonts w:ascii="Arial" w:eastAsia="Times New Roman" w:hAnsi="Arial" w:cs="Arial"/>
          <w:bCs/>
          <w:lang w:eastAsia="es-MX"/>
        </w:rPr>
        <w:t xml:space="preserve">, y </w:t>
      </w:r>
      <w:r w:rsidR="00AC61B9" w:rsidRPr="00AC61B9">
        <w:rPr>
          <w:rFonts w:ascii="Arial" w:eastAsia="Times New Roman" w:hAnsi="Arial" w:cs="Arial"/>
          <w:bCs/>
          <w:lang w:eastAsia="es-MX"/>
        </w:rPr>
        <w:t>357, fracción VIII, inciso e)</w:t>
      </w:r>
      <w:r w:rsidR="00AC61B9" w:rsidRPr="00AC61B9">
        <w:rPr>
          <w:rFonts w:ascii="Arial" w:eastAsia="Times New Roman" w:hAnsi="Arial" w:cs="Arial"/>
          <w:bCs/>
          <w:lang w:eastAsia="es-MX"/>
        </w:rPr>
        <w:t>,</w:t>
      </w:r>
      <w:r w:rsidR="00AC61B9" w:rsidRPr="00AC61B9">
        <w:rPr>
          <w:rFonts w:ascii="Arial" w:eastAsia="Times New Roman" w:hAnsi="Arial" w:cs="Arial"/>
          <w:bCs/>
          <w:lang w:eastAsia="es-MX"/>
        </w:rPr>
        <w:t xml:space="preserve"> del Código Electoral, así como 102, fracción II y 126 del Reglamento Interior del Tribunal Electoral del Estado de Aguascalientes, del análisis del escrito de demanda se advierte que guarda conexidad con el medio de impugnación identificado como </w:t>
      </w:r>
      <w:r w:rsidR="00AC61B9" w:rsidRPr="00AC61B9">
        <w:rPr>
          <w:rFonts w:ascii="Arial" w:eastAsia="Times New Roman" w:hAnsi="Arial" w:cs="Arial"/>
          <w:b/>
          <w:bCs/>
          <w:lang w:eastAsia="es-MX"/>
        </w:rPr>
        <w:t>TEEA-</w:t>
      </w:r>
      <w:r w:rsidR="00AC61B9" w:rsidRPr="00AC61B9">
        <w:rPr>
          <w:rFonts w:ascii="Arial" w:eastAsia="Times New Roman" w:hAnsi="Arial" w:cs="Arial"/>
          <w:b/>
          <w:bCs/>
          <w:lang w:eastAsia="es-MX"/>
        </w:rPr>
        <w:t>JDC</w:t>
      </w:r>
      <w:r w:rsidR="00AC61B9" w:rsidRPr="00AC61B9">
        <w:rPr>
          <w:rFonts w:ascii="Arial" w:eastAsia="Times New Roman" w:hAnsi="Arial" w:cs="Arial"/>
          <w:b/>
          <w:bCs/>
          <w:lang w:eastAsia="es-MX"/>
        </w:rPr>
        <w:t>-</w:t>
      </w:r>
      <w:r w:rsidR="00AC61B9" w:rsidRPr="00AC61B9">
        <w:rPr>
          <w:rFonts w:ascii="Arial" w:eastAsia="Times New Roman" w:hAnsi="Arial" w:cs="Arial"/>
          <w:b/>
          <w:bCs/>
          <w:lang w:eastAsia="es-MX"/>
        </w:rPr>
        <w:t>123</w:t>
      </w:r>
      <w:r w:rsidR="00AC61B9" w:rsidRPr="00AC61B9">
        <w:rPr>
          <w:rFonts w:ascii="Arial" w:eastAsia="Times New Roman" w:hAnsi="Arial" w:cs="Arial"/>
          <w:b/>
          <w:bCs/>
          <w:lang w:eastAsia="es-MX"/>
        </w:rPr>
        <w:t>/2021,</w:t>
      </w:r>
      <w:r w:rsidR="00AC61B9" w:rsidRPr="00AC61B9">
        <w:rPr>
          <w:rFonts w:ascii="Arial" w:eastAsia="Times New Roman" w:hAnsi="Arial" w:cs="Arial"/>
          <w:bCs/>
          <w:lang w:eastAsia="es-MX"/>
        </w:rPr>
        <w:t xml:space="preserve"> y a efecto de evitar sentencias contradictorias, túrnense los autos a la Ponencia </w:t>
      </w:r>
      <w:r w:rsidR="002A3B51" w:rsidRPr="00AC61B9">
        <w:rPr>
          <w:rFonts w:ascii="Arial" w:eastAsia="Times New Roman" w:hAnsi="Arial" w:cs="Arial"/>
          <w:lang w:eastAsia="es-MX"/>
        </w:rPr>
        <w:t>de</w:t>
      </w:r>
      <w:r w:rsidR="008E6A85" w:rsidRPr="00AC61B9">
        <w:rPr>
          <w:rFonts w:ascii="Arial" w:eastAsia="Times New Roman" w:hAnsi="Arial" w:cs="Arial"/>
          <w:lang w:eastAsia="es-MX"/>
        </w:rPr>
        <w:t xml:space="preserve"> </w:t>
      </w:r>
      <w:r w:rsidR="005F4ADF" w:rsidRPr="00AC61B9">
        <w:rPr>
          <w:rFonts w:ascii="Arial" w:eastAsia="Times New Roman" w:hAnsi="Arial" w:cs="Arial"/>
          <w:lang w:eastAsia="es-MX"/>
        </w:rPr>
        <w:t>l</w:t>
      </w:r>
      <w:r w:rsidR="008E6A85" w:rsidRPr="00AC61B9">
        <w:rPr>
          <w:rFonts w:ascii="Arial" w:eastAsia="Times New Roman" w:hAnsi="Arial" w:cs="Arial"/>
          <w:lang w:eastAsia="es-MX"/>
        </w:rPr>
        <w:t>a</w:t>
      </w:r>
      <w:r w:rsidR="002A3B51" w:rsidRPr="00AC61B9">
        <w:rPr>
          <w:rFonts w:ascii="Arial" w:eastAsia="Times New Roman" w:hAnsi="Arial" w:cs="Arial"/>
          <w:lang w:eastAsia="es-MX"/>
        </w:rPr>
        <w:t xml:space="preserve"> </w:t>
      </w:r>
      <w:r w:rsidR="008E6A85" w:rsidRPr="00AC61B9">
        <w:rPr>
          <w:rFonts w:ascii="Arial" w:eastAsia="Times New Roman" w:hAnsi="Arial" w:cs="Arial"/>
          <w:lang w:eastAsia="es-MX"/>
        </w:rPr>
        <w:t xml:space="preserve">suscrita </w:t>
      </w:r>
      <w:r w:rsidR="002A3B51" w:rsidRPr="00AC61B9">
        <w:rPr>
          <w:rFonts w:ascii="Arial" w:eastAsia="Times New Roman" w:hAnsi="Arial" w:cs="Arial"/>
          <w:b/>
          <w:bCs/>
          <w:lang w:eastAsia="es-MX"/>
        </w:rPr>
        <w:t>Magistrad</w:t>
      </w:r>
      <w:r w:rsidR="008E6A85" w:rsidRPr="00AC61B9">
        <w:rPr>
          <w:rFonts w:ascii="Arial" w:eastAsia="Times New Roman" w:hAnsi="Arial" w:cs="Arial"/>
          <w:b/>
          <w:bCs/>
          <w:lang w:eastAsia="es-MX"/>
        </w:rPr>
        <w:t>a</w:t>
      </w:r>
      <w:r w:rsidR="002A3B51" w:rsidRPr="00AC61B9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E6A85" w:rsidRPr="00AC61B9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  <w:r w:rsidR="003302AC" w:rsidRPr="00AC61B9">
        <w:rPr>
          <w:rFonts w:ascii="Arial" w:eastAsia="Times New Roman" w:hAnsi="Arial" w:cs="Arial"/>
          <w:b/>
          <w:bCs/>
          <w:lang w:eastAsia="es-MX"/>
        </w:rPr>
        <w:t>.</w:t>
      </w:r>
    </w:p>
    <w:p w14:paraId="4E2E2787" w14:textId="3C45F4E8" w:rsidR="008D1D68" w:rsidRPr="00AC61B9" w:rsidRDefault="008D1D68" w:rsidP="00E72D51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>TERCERO.</w:t>
      </w:r>
      <w:r w:rsidRPr="00AC61B9">
        <w:rPr>
          <w:rFonts w:ascii="Arial" w:eastAsia="Times New Roman" w:hAnsi="Arial" w:cs="Arial"/>
          <w:bCs/>
          <w:lang w:eastAsia="es-MX"/>
        </w:rPr>
        <w:t xml:space="preserve"> </w:t>
      </w:r>
      <w:r w:rsidRPr="00AC61B9">
        <w:rPr>
          <w:rFonts w:ascii="Arial" w:eastAsia="Times New Roman" w:hAnsi="Arial" w:cs="Arial"/>
          <w:b/>
          <w:lang w:eastAsia="es-MX"/>
        </w:rPr>
        <w:t xml:space="preserve">Remisión de demanda. </w:t>
      </w:r>
      <w:r w:rsidRPr="00AC61B9">
        <w:rPr>
          <w:rFonts w:ascii="Arial" w:eastAsia="Times New Roman" w:hAnsi="Arial" w:cs="Arial"/>
          <w:lang w:eastAsia="es-MX"/>
        </w:rPr>
        <w:t xml:space="preserve">Para los efectos previstos en los artículos 311 y 312, del Código Electoral de esta entidad, así como lo establecido en el artículo 104, del Reglamento Interior de este Tribunal, remítase de inmediato </w:t>
      </w:r>
      <w:r w:rsidR="0091732A" w:rsidRPr="00AC61B9">
        <w:rPr>
          <w:rFonts w:ascii="Arial" w:eastAsia="Times New Roman" w:hAnsi="Arial" w:cs="Arial"/>
          <w:lang w:eastAsia="es-MX"/>
        </w:rPr>
        <w:t xml:space="preserve">a la autoridad señala como responsable con </w:t>
      </w:r>
      <w:r w:rsidRPr="00AC61B9">
        <w:rPr>
          <w:rFonts w:ascii="Arial" w:eastAsia="Times New Roman" w:hAnsi="Arial" w:cs="Arial"/>
          <w:lang w:eastAsia="es-MX"/>
        </w:rPr>
        <w:t xml:space="preserve">copia certificada del escrito que contiene el medio de impugnación, recibido por Oficialía de Partes de este Tribunal, para que, a partir de que le sea notificado el presente proveído, de inmediato </w:t>
      </w:r>
      <w:r w:rsidR="0091732A" w:rsidRPr="00AC61B9">
        <w:rPr>
          <w:rFonts w:ascii="Arial" w:eastAsia="Times New Roman" w:hAnsi="Arial" w:cs="Arial"/>
          <w:lang w:eastAsia="es-MX"/>
        </w:rPr>
        <w:t>d</w:t>
      </w:r>
      <w:r w:rsidR="008E6A85" w:rsidRPr="00AC61B9">
        <w:rPr>
          <w:rFonts w:ascii="Arial" w:eastAsia="Times New Roman" w:hAnsi="Arial" w:cs="Arial"/>
          <w:lang w:eastAsia="es-MX"/>
        </w:rPr>
        <w:t>é</w:t>
      </w:r>
      <w:r w:rsidRPr="00AC61B9">
        <w:rPr>
          <w:rFonts w:ascii="Arial" w:eastAsia="Times New Roman" w:hAnsi="Arial" w:cs="Arial"/>
          <w:lang w:eastAsia="es-MX"/>
        </w:rPr>
        <w:t xml:space="preserve"> el trámite correspondiente a la demanda</w:t>
      </w:r>
      <w:r w:rsidR="0091732A" w:rsidRPr="00AC61B9">
        <w:rPr>
          <w:rFonts w:ascii="Arial" w:eastAsia="Times New Roman" w:hAnsi="Arial" w:cs="Arial"/>
          <w:lang w:eastAsia="es-MX"/>
        </w:rPr>
        <w:t>.</w:t>
      </w:r>
    </w:p>
    <w:p w14:paraId="64CBC679" w14:textId="6BDE4472" w:rsidR="0091732A" w:rsidRPr="00AC61B9" w:rsidRDefault="0091732A" w:rsidP="00E72D5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 xml:space="preserve">CUARTO. Apercibimiento. </w:t>
      </w:r>
      <w:r w:rsidRPr="00AC61B9">
        <w:rPr>
          <w:rFonts w:ascii="Arial" w:eastAsia="Times New Roman" w:hAnsi="Arial" w:cs="Arial"/>
          <w:bCs/>
          <w:lang w:eastAsia="es-MX"/>
        </w:rPr>
        <w:t xml:space="preserve">Se apercibe a la autoridad señalada como responsable para que, en el caso que no </w:t>
      </w:r>
      <w:r w:rsidR="008E6A85" w:rsidRPr="00AC61B9">
        <w:rPr>
          <w:rFonts w:ascii="Arial" w:eastAsia="Times New Roman" w:hAnsi="Arial" w:cs="Arial"/>
          <w:bCs/>
          <w:lang w:eastAsia="es-MX"/>
        </w:rPr>
        <w:t>dé</w:t>
      </w:r>
      <w:r w:rsidRPr="00AC61B9">
        <w:rPr>
          <w:rFonts w:ascii="Arial" w:eastAsia="Times New Roman" w:hAnsi="Arial" w:cs="Arial"/>
          <w:bCs/>
          <w:lang w:eastAsia="es-MX"/>
        </w:rPr>
        <w:t xml:space="preserve"> cumplimiento inmediato al requerimiento en los términos señalados, se le aplicará alguna de las medidas de apremio a que se refiere el artículo 328 del Código Electoral del Estado.  </w:t>
      </w:r>
    </w:p>
    <w:p w14:paraId="396BE089" w14:textId="77777777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Cs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 xml:space="preserve">NOTIFÍQUESE. </w:t>
      </w:r>
    </w:p>
    <w:p w14:paraId="4436356C" w14:textId="77777777" w:rsidR="00BC7644" w:rsidRPr="00AC61B9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AC61B9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AC61B9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AC61B9">
        <w:rPr>
          <w:rFonts w:ascii="Arial" w:eastAsia="Times New Roman" w:hAnsi="Arial" w:cs="Arial"/>
          <w:bCs/>
          <w:lang w:eastAsia="es-MX"/>
        </w:rPr>
        <w:t xml:space="preserve"> de este Tribunal Electoral, Claudia Eloisa Díaz de León González, ante el Secretario General de Acuerdos, que autoriza y da fe.</w:t>
      </w:r>
    </w:p>
    <w:p w14:paraId="62DC09FC" w14:textId="77777777" w:rsidR="00BC7644" w:rsidRPr="00AC61B9" w:rsidRDefault="00BC7644" w:rsidP="00BC7644">
      <w:pPr>
        <w:spacing w:after="0" w:line="360" w:lineRule="auto"/>
        <w:rPr>
          <w:rFonts w:ascii="Arial" w:eastAsia="Times New Roman" w:hAnsi="Arial" w:cs="Arial"/>
          <w:bCs/>
          <w:lang w:eastAsia="es-MX"/>
        </w:rPr>
      </w:pPr>
    </w:p>
    <w:p w14:paraId="2E7802C2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4D0E89C4" w14:textId="77777777" w:rsidR="00BC7644" w:rsidRPr="00AC61B9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lang w:eastAsia="es-ES"/>
        </w:rPr>
      </w:pPr>
    </w:p>
    <w:p w14:paraId="41C8145F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1B74263E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1EBD6A3" w14:textId="77777777" w:rsidR="00BC7644" w:rsidRPr="00AC61B9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1CA2755A" w14:textId="3C765AEC" w:rsidR="00BC7644" w:rsidRPr="00AC61B9" w:rsidRDefault="00BC7644" w:rsidP="0091732A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1F7CB465" w14:textId="77777777" w:rsidR="00BC7644" w:rsidRPr="00AC61B9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F392194" w14:textId="3EF351A0" w:rsidR="002046AC" w:rsidRPr="00AC61B9" w:rsidRDefault="00BC7644" w:rsidP="0091732A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C61B9">
        <w:rPr>
          <w:rFonts w:ascii="Arial" w:eastAsia="Times New Roman" w:hAnsi="Arial" w:cs="Arial"/>
          <w:b/>
          <w:bCs/>
          <w:kern w:val="16"/>
          <w:lang w:eastAsia="es-ES"/>
        </w:rPr>
        <w:t xml:space="preserve">      Jesús Ociel Baena Saucedo</w:t>
      </w:r>
    </w:p>
    <w:sectPr w:rsidR="002046AC" w:rsidRPr="00AC61B9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AC61B9">
    <w:pPr>
      <w:pStyle w:val="Piedepgina"/>
      <w:jc w:val="right"/>
    </w:pPr>
  </w:p>
  <w:p w14:paraId="6F882EB5" w14:textId="77777777" w:rsidR="00F71849" w:rsidRDefault="00AC6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AC61B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AC61B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4ABBC2F2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 w:rsidR="00D2605C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AC61B9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AC61B9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AC61B9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AC61B9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0F7DA3"/>
    <w:rsid w:val="001372A8"/>
    <w:rsid w:val="002046AC"/>
    <w:rsid w:val="00233C53"/>
    <w:rsid w:val="00270BFD"/>
    <w:rsid w:val="0027209C"/>
    <w:rsid w:val="002A3B51"/>
    <w:rsid w:val="002E5AEC"/>
    <w:rsid w:val="003213D2"/>
    <w:rsid w:val="003302AC"/>
    <w:rsid w:val="003A1D5F"/>
    <w:rsid w:val="003F5D93"/>
    <w:rsid w:val="00417A26"/>
    <w:rsid w:val="00563127"/>
    <w:rsid w:val="005731FC"/>
    <w:rsid w:val="005A2705"/>
    <w:rsid w:val="005F4ADF"/>
    <w:rsid w:val="006C1917"/>
    <w:rsid w:val="00750844"/>
    <w:rsid w:val="00774A0D"/>
    <w:rsid w:val="008A7BD1"/>
    <w:rsid w:val="008D0202"/>
    <w:rsid w:val="008D1D68"/>
    <w:rsid w:val="008E6A85"/>
    <w:rsid w:val="0091732A"/>
    <w:rsid w:val="009174F9"/>
    <w:rsid w:val="00937A8F"/>
    <w:rsid w:val="0096277D"/>
    <w:rsid w:val="00A070CA"/>
    <w:rsid w:val="00A16373"/>
    <w:rsid w:val="00A515EA"/>
    <w:rsid w:val="00A56431"/>
    <w:rsid w:val="00AC61B9"/>
    <w:rsid w:val="00AD399C"/>
    <w:rsid w:val="00BC7644"/>
    <w:rsid w:val="00BE066B"/>
    <w:rsid w:val="00D2605C"/>
    <w:rsid w:val="00D45568"/>
    <w:rsid w:val="00E72D51"/>
    <w:rsid w:val="00E977CE"/>
    <w:rsid w:val="00ED6020"/>
    <w:rsid w:val="00EE6E37"/>
    <w:rsid w:val="00F113A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7</cp:revision>
  <cp:lastPrinted>2021-05-31T20:33:00Z</cp:lastPrinted>
  <dcterms:created xsi:type="dcterms:W3CDTF">2021-05-21T17:50:00Z</dcterms:created>
  <dcterms:modified xsi:type="dcterms:W3CDTF">2021-05-31T20:34:00Z</dcterms:modified>
</cp:coreProperties>
</file>